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f25_110623.htm"/>
      <w:bookmarkStart w:id="1" w:name="ksf25_110623"/>
      <w:bookmarkStart w:id="2" w:name="f25_110623.htm"/>
      <w:bookmarkStart w:id="3" w:name="ksf25_110623"/>
      <w:bookmarkEnd w:id="2"/>
      <w:bookmarkEnd w:id="3"/>
    </w:p>
    <w:tbl>
      <w:tblPr>
        <w:tblW w:w="5920" w:type="dxa"/>
        <w:jc w:val="left"/>
        <w:tblInd w:w="0" w:type="dxa"/>
        <w:tblLayout w:type="fixed"/>
        <w:tblCellMar>
          <w:top w:w="30" w:type="dxa"/>
          <w:left w:w="30" w:type="dxa"/>
          <w:bottom w:w="30" w:type="dxa"/>
          <w:right w:w="30" w:type="dxa"/>
        </w:tblCellMar>
      </w:tblPr>
      <w:tblGrid>
        <w:gridCol w:w="135"/>
        <w:gridCol w:w="4355"/>
        <w:gridCol w:w="1430"/>
      </w:tblGrid>
      <w:tr>
        <w:trPr/>
        <w:tc>
          <w:tcPr>
            <w:tcW w:w="135" w:type="dxa"/>
            <w:tcBorders/>
            <w:vAlign w:val="center"/>
          </w:tcPr>
          <w:p>
            <w:pPr>
              <w:pStyle w:val="TableContents"/>
              <w:bidi w:val="0"/>
              <w:spacing w:before="0" w:after="283"/>
              <w:jc w:val="left"/>
              <w:rPr/>
            </w:pPr>
            <w:r>
              <w:rPr/>
              <w:t> </w:t>
            </w:r>
          </w:p>
        </w:tc>
        <w:tc>
          <w:tcPr>
            <w:tcW w:w="5785" w:type="dxa"/>
            <w:gridSpan w:val="2"/>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283"/>
              <w:jc w:val="center"/>
              <w:rPr/>
            </w:pPr>
            <w:r>
              <w:rPr/>
              <w:t>OMB APPROVAL</w:t>
            </w:r>
          </w:p>
        </w:tc>
      </w:tr>
      <w:tr>
        <w:trPr/>
        <w:tc>
          <w:tcPr>
            <w:tcW w:w="135" w:type="dxa"/>
            <w:tcBorders/>
            <w:vAlign w:val="center"/>
          </w:tcPr>
          <w:p>
            <w:pPr>
              <w:pStyle w:val="TableContents"/>
              <w:bidi w:val="0"/>
              <w:spacing w:before="0" w:after="283"/>
              <w:jc w:val="left"/>
              <w:rPr/>
            </w:pPr>
            <w:r>
              <w:rPr/>
              <w:t> </w:t>
            </w:r>
          </w:p>
        </w:tc>
        <w:tc>
          <w:tcPr>
            <w:tcW w:w="4355" w:type="dxa"/>
            <w:tcBorders>
              <w:left w:val="single" w:sz="8" w:space="0" w:color="000000"/>
            </w:tcBorders>
            <w:tcMar>
              <w:top w:w="0" w:type="dxa"/>
              <w:left w:w="28" w:type="dxa"/>
              <w:bottom w:w="0" w:type="dxa"/>
              <w:right w:w="0" w:type="dxa"/>
            </w:tcMar>
            <w:vAlign w:val="center"/>
          </w:tcPr>
          <w:p>
            <w:pPr>
              <w:pStyle w:val="TableContents"/>
              <w:bidi w:val="0"/>
              <w:spacing w:before="0" w:after="283"/>
              <w:jc w:val="left"/>
              <w:rPr/>
            </w:pPr>
            <w:r>
              <w:rPr/>
              <w:t>OMB Number:</w:t>
            </w:r>
          </w:p>
        </w:tc>
        <w:tc>
          <w:tcPr>
            <w:tcW w:w="1430" w:type="dxa"/>
            <w:tcBorders>
              <w:right w:val="single" w:sz="8" w:space="0" w:color="000000"/>
            </w:tcBorders>
            <w:tcMar>
              <w:top w:w="0" w:type="dxa"/>
              <w:left w:w="0" w:type="dxa"/>
              <w:bottom w:w="0" w:type="dxa"/>
              <w:right w:w="28" w:type="dxa"/>
            </w:tcMar>
            <w:vAlign w:val="center"/>
          </w:tcPr>
          <w:p>
            <w:pPr>
              <w:pStyle w:val="TableContents"/>
              <w:bidi w:val="0"/>
              <w:spacing w:before="0" w:after="283"/>
              <w:jc w:val="left"/>
              <w:rPr/>
            </w:pPr>
            <w:r>
              <w:rPr/>
              <w:t>3235-0080</w:t>
            </w:r>
          </w:p>
        </w:tc>
      </w:tr>
      <w:tr>
        <w:trPr/>
        <w:tc>
          <w:tcPr>
            <w:tcW w:w="135" w:type="dxa"/>
            <w:tcBorders/>
            <w:vAlign w:val="center"/>
          </w:tcPr>
          <w:p>
            <w:pPr>
              <w:pStyle w:val="TableContents"/>
              <w:bidi w:val="0"/>
              <w:spacing w:before="0" w:after="283"/>
              <w:jc w:val="left"/>
              <w:rPr/>
            </w:pPr>
            <w:r>
              <w:rPr/>
              <w:t> </w:t>
            </w:r>
          </w:p>
        </w:tc>
        <w:tc>
          <w:tcPr>
            <w:tcW w:w="4355" w:type="dxa"/>
            <w:tcBorders>
              <w:left w:val="single" w:sz="8" w:space="0" w:color="000000"/>
            </w:tcBorders>
            <w:tcMar>
              <w:top w:w="0" w:type="dxa"/>
              <w:left w:w="28" w:type="dxa"/>
              <w:bottom w:w="0" w:type="dxa"/>
              <w:right w:w="0" w:type="dxa"/>
            </w:tcMar>
            <w:vAlign w:val="center"/>
          </w:tcPr>
          <w:p>
            <w:pPr>
              <w:pStyle w:val="TableContents"/>
              <w:bidi w:val="0"/>
              <w:spacing w:before="0" w:after="283"/>
              <w:jc w:val="left"/>
              <w:rPr/>
            </w:pPr>
            <w:r>
              <w:rPr/>
              <w:t>Expires:</w:t>
            </w:r>
          </w:p>
        </w:tc>
        <w:tc>
          <w:tcPr>
            <w:tcW w:w="1430" w:type="dxa"/>
            <w:tcBorders>
              <w:right w:val="single" w:sz="8" w:space="0" w:color="000000"/>
            </w:tcBorders>
            <w:tcMar>
              <w:top w:w="0" w:type="dxa"/>
              <w:left w:w="0" w:type="dxa"/>
              <w:bottom w:w="0" w:type="dxa"/>
              <w:right w:w="28" w:type="dxa"/>
            </w:tcMar>
            <w:vAlign w:val="center"/>
          </w:tcPr>
          <w:p>
            <w:pPr>
              <w:pStyle w:val="TableContents"/>
              <w:bidi w:val="0"/>
              <w:spacing w:before="0" w:after="283"/>
              <w:jc w:val="left"/>
              <w:rPr/>
            </w:pPr>
            <w:r>
              <w:rPr/>
              <w:t>May 31, 2024</w:t>
            </w:r>
          </w:p>
        </w:tc>
      </w:tr>
      <w:tr>
        <w:trPr/>
        <w:tc>
          <w:tcPr>
            <w:tcW w:w="135" w:type="dxa"/>
            <w:tcBorders/>
            <w:vAlign w:val="center"/>
          </w:tcPr>
          <w:p>
            <w:pPr>
              <w:pStyle w:val="TableContents"/>
              <w:bidi w:val="0"/>
              <w:spacing w:before="0" w:after="283"/>
              <w:jc w:val="left"/>
              <w:rPr/>
            </w:pPr>
            <w:r>
              <w:rPr/>
              <w:t> </w:t>
            </w:r>
          </w:p>
        </w:tc>
        <w:tc>
          <w:tcPr>
            <w:tcW w:w="4355" w:type="dxa"/>
            <w:tcBorders>
              <w:left w:val="single" w:sz="8" w:space="0" w:color="000000"/>
              <w:bottom w:val="single" w:sz="8" w:space="0" w:color="000000"/>
            </w:tcBorders>
            <w:tcMar>
              <w:top w:w="0" w:type="dxa"/>
              <w:left w:w="28" w:type="dxa"/>
              <w:bottom w:w="28" w:type="dxa"/>
              <w:right w:w="0" w:type="dxa"/>
            </w:tcMar>
            <w:vAlign w:val="center"/>
          </w:tcPr>
          <w:p>
            <w:pPr>
              <w:pStyle w:val="TableContents"/>
              <w:bidi w:val="0"/>
              <w:spacing w:before="0" w:after="283"/>
              <w:jc w:val="left"/>
              <w:rPr/>
            </w:pPr>
            <w:r>
              <w:rPr/>
              <w:t>Estimated average burden hours per response</w:t>
            </w:r>
          </w:p>
        </w:tc>
        <w:tc>
          <w:tcPr>
            <w:tcW w:w="1430" w:type="dxa"/>
            <w:tcBorders>
              <w:bottom w:val="single" w:sz="8" w:space="0" w:color="000000"/>
              <w:right w:val="single" w:sz="8" w:space="0" w:color="000000"/>
            </w:tcBorders>
            <w:tcMar>
              <w:top w:w="0" w:type="dxa"/>
              <w:left w:w="0" w:type="dxa"/>
              <w:bottom w:w="28" w:type="dxa"/>
              <w:right w:w="28" w:type="dxa"/>
            </w:tcMar>
            <w:vAlign w:val="center"/>
          </w:tcPr>
          <w:p>
            <w:pPr>
              <w:pStyle w:val="TableContents"/>
              <w:bidi w:val="0"/>
              <w:spacing w:before="0" w:after="283"/>
              <w:jc w:val="left"/>
              <w:rPr/>
            </w:pPr>
            <w:r>
              <w:rPr/>
              <w:t>1.00</w:t>
            </w:r>
          </w:p>
        </w:tc>
      </w:tr>
    </w:tbl>
    <w:p>
      <w:pPr>
        <w:pStyle w:val="TextBody"/>
        <w:bidi w:val="0"/>
        <w:spacing w:before="0" w:after="0"/>
        <w:jc w:val="center"/>
        <w:rPr/>
      </w:pPr>
      <w:r>
        <w:rPr/>
        <w:t> </w:t>
      </w:r>
    </w:p>
    <w:p>
      <w:pPr>
        <w:pStyle w:val="TextBody"/>
        <w:bidi w:val="0"/>
        <w:spacing w:before="0" w:after="0"/>
        <w:jc w:val="center"/>
        <w:rPr>
          <w:b/>
          <w:sz w:val="20"/>
        </w:rPr>
      </w:pPr>
      <w:r>
        <w:rPr>
          <w:b/>
          <w:sz w:val="20"/>
        </w:rPr>
        <w:t xml:space="preserve">UNITED </w:t>
      </w:r>
      <w:r>
        <w:rPr>
          <w:b/>
          <w:spacing w:val="-2"/>
          <w:sz w:val="20"/>
        </w:rPr>
        <w:t>STATES</w:t>
      </w:r>
    </w:p>
    <w:p>
      <w:pPr>
        <w:pStyle w:val="TextBody"/>
        <w:bidi w:val="0"/>
        <w:spacing w:before="0" w:after="0"/>
        <w:jc w:val="center"/>
        <w:rPr>
          <w:b/>
          <w:spacing w:val="-6"/>
          <w:sz w:val="20"/>
        </w:rPr>
      </w:pPr>
      <w:r>
        <w:rPr>
          <w:b/>
          <w:spacing w:val="-6"/>
          <w:sz w:val="20"/>
        </w:rPr>
        <w:t>SECURITIES AND EXCHANGE COMMISSION</w:t>
      </w:r>
    </w:p>
    <w:p>
      <w:pPr>
        <w:pStyle w:val="TextBody"/>
        <w:bidi w:val="0"/>
        <w:spacing w:before="0" w:after="0"/>
        <w:jc w:val="center"/>
        <w:rPr>
          <w:b/>
          <w:sz w:val="20"/>
        </w:rPr>
      </w:pPr>
      <w:r>
        <w:rPr>
          <w:b/>
          <w:sz w:val="20"/>
        </w:rPr>
        <w:t xml:space="preserve">Washington, D. C. </w:t>
      </w:r>
      <w:r>
        <w:rPr>
          <w:b/>
          <w:spacing w:val="-2"/>
          <w:sz w:val="20"/>
        </w:rPr>
        <w:t>20549</w:t>
      </w:r>
    </w:p>
    <w:p>
      <w:pPr>
        <w:pStyle w:val="TextBody"/>
        <w:bidi w:val="0"/>
        <w:spacing w:before="0" w:after="0"/>
        <w:jc w:val="center"/>
        <w:rPr/>
      </w:pPr>
      <w:r>
        <w:rPr/>
        <w:t> </w:t>
      </w:r>
    </w:p>
    <w:p>
      <w:pPr>
        <w:pStyle w:val="TextBody"/>
        <w:bidi w:val="0"/>
        <w:spacing w:before="0" w:after="0"/>
        <w:jc w:val="center"/>
        <w:rPr>
          <w:b/>
          <w:sz w:val="20"/>
        </w:rPr>
      </w:pPr>
      <w:r>
        <w:rPr>
          <w:b/>
          <w:sz w:val="20"/>
        </w:rPr>
        <w:t xml:space="preserve">FORM </w:t>
      </w:r>
      <w:r>
        <w:rPr>
          <w:b/>
          <w:spacing w:val="5"/>
          <w:sz w:val="20"/>
        </w:rPr>
        <w:t>25</w:t>
      </w:r>
    </w:p>
    <w:p>
      <w:pPr>
        <w:pStyle w:val="TextBody"/>
        <w:bidi w:val="0"/>
        <w:spacing w:before="0" w:after="0"/>
        <w:jc w:val="center"/>
        <w:rPr>
          <w:spacing w:val="5"/>
        </w:rPr>
      </w:pPr>
      <w:r>
        <w:rPr>
          <w:spacing w:val="5"/>
        </w:rPr>
        <w:t> </w:t>
      </w:r>
    </w:p>
    <w:p>
      <w:pPr>
        <w:pStyle w:val="TextBody"/>
        <w:bidi w:val="0"/>
        <w:spacing w:before="0" w:after="0"/>
        <w:jc w:val="center"/>
        <w:rPr>
          <w:b/>
          <w:sz w:val="20"/>
        </w:rPr>
      </w:pPr>
      <w:r>
        <w:rPr>
          <w:b/>
          <w:sz w:val="20"/>
        </w:rPr>
        <w:t>NOTIFICATION OF REMOVAL FROM LISTING AND/OR</w:t>
      </w:r>
    </w:p>
    <w:p>
      <w:pPr>
        <w:pStyle w:val="TextBody"/>
        <w:bidi w:val="0"/>
        <w:spacing w:before="0" w:after="0"/>
        <w:jc w:val="center"/>
        <w:rPr>
          <w:b/>
          <w:sz w:val="20"/>
        </w:rPr>
      </w:pPr>
      <w:r>
        <w:rPr>
          <w:b/>
          <w:sz w:val="20"/>
        </w:rPr>
        <w:t>REGISTRATION UNDER SECTION 12(b) OF THE</w:t>
      </w:r>
    </w:p>
    <w:p>
      <w:pPr>
        <w:pStyle w:val="TextBody"/>
        <w:bidi w:val="0"/>
        <w:spacing w:before="0" w:after="0"/>
        <w:jc w:val="center"/>
        <w:rPr>
          <w:b/>
          <w:spacing w:val="-2"/>
          <w:sz w:val="20"/>
        </w:rPr>
      </w:pPr>
      <w:r>
        <w:rPr>
          <w:b/>
          <w:spacing w:val="-2"/>
          <w:sz w:val="20"/>
        </w:rPr>
        <w:t>SECURITIES EXCHANGE ACT OF 1934.</w:t>
      </w:r>
    </w:p>
    <w:p>
      <w:pPr>
        <w:pStyle w:val="TextBody"/>
        <w:bidi w:val="0"/>
        <w:spacing w:before="0" w:after="0"/>
        <w:jc w:val="center"/>
        <w:rPr>
          <w:spacing w:val="-2"/>
        </w:rPr>
      </w:pPr>
      <w:r>
        <w:rPr>
          <w:spacing w:val="-2"/>
        </w:rPr>
        <w:t> </w:t>
      </w:r>
    </w:p>
    <w:p>
      <w:pPr>
        <w:pStyle w:val="TextBody"/>
        <w:bidi w:val="0"/>
        <w:spacing w:before="0" w:after="0"/>
        <w:jc w:val="right"/>
        <w:rPr>
          <w:spacing w:val="-2"/>
          <w:sz w:val="20"/>
        </w:rPr>
      </w:pPr>
      <w:r>
        <w:rPr>
          <w:spacing w:val="-2"/>
          <w:sz w:val="20"/>
        </w:rPr>
        <w:t>Commission File Number 001-39989</w:t>
      </w:r>
    </w:p>
    <w:p>
      <w:pPr>
        <w:pStyle w:val="TextBody"/>
        <w:bidi w:val="0"/>
        <w:spacing w:before="0" w:after="0"/>
        <w:jc w:val="left"/>
        <w:rPr/>
      </w:pPr>
      <w:r>
        <w:rPr/>
        <w:t> </w:t>
      </w:r>
    </w:p>
    <w:p>
      <w:pPr>
        <w:pStyle w:val="TextBody"/>
        <w:pBdr>
          <w:bottom w:val="single" w:sz="8" w:space="1" w:color="000000"/>
        </w:pBdr>
        <w:bidi w:val="0"/>
        <w:spacing w:before="0" w:after="0"/>
        <w:jc w:val="center"/>
        <w:rPr>
          <w:sz w:val="20"/>
        </w:rPr>
      </w:pPr>
      <w:r>
        <w:rPr>
          <w:sz w:val="20"/>
        </w:rPr>
        <w:t xml:space="preserve">Issuer: PyroGenesis Canada Inc. Exchange: Nasdaq Capital </w:t>
      </w:r>
      <w:r>
        <w:rPr>
          <w:spacing w:val="-2"/>
          <w:sz w:val="20"/>
        </w:rPr>
        <w:t>Market</w:t>
      </w:r>
    </w:p>
    <w:p>
      <w:pPr>
        <w:pStyle w:val="TextBody"/>
        <w:bidi w:val="0"/>
        <w:spacing w:before="0" w:after="0"/>
        <w:jc w:val="center"/>
        <w:rPr>
          <w:sz w:val="20"/>
        </w:rPr>
      </w:pPr>
      <w:r>
        <w:rPr>
          <w:sz w:val="20"/>
        </w:rPr>
        <w:t xml:space="preserve">(Exact name of Issuer as specified in its charter, and name of Exchange where security is listed and/or </w:t>
      </w:r>
      <w:r>
        <w:rPr>
          <w:spacing w:val="-2"/>
          <w:sz w:val="20"/>
        </w:rPr>
        <w:t>registered)</w:t>
      </w:r>
    </w:p>
    <w:p>
      <w:pPr>
        <w:pStyle w:val="TextBody"/>
        <w:bidi w:val="0"/>
        <w:spacing w:before="0" w:after="0"/>
        <w:jc w:val="left"/>
        <w:rPr/>
      </w:pPr>
      <w:r>
        <w:rPr/>
        <w:t> </w:t>
      </w:r>
    </w:p>
    <w:p>
      <w:pPr>
        <w:pStyle w:val="TextBody"/>
        <w:pBdr>
          <w:bottom w:val="single" w:sz="8" w:space="1" w:color="000000"/>
        </w:pBdr>
        <w:bidi w:val="0"/>
        <w:spacing w:before="0" w:after="0"/>
        <w:jc w:val="center"/>
        <w:rPr>
          <w:sz w:val="20"/>
        </w:rPr>
      </w:pPr>
      <w:r>
        <w:rPr>
          <w:sz w:val="20"/>
        </w:rPr>
        <w:t>Address: 1744 William St., Suite 200, Montreal, Quebec, Canada H3J 1R4 Telephone: (514) 937-</w:t>
      </w:r>
      <w:r>
        <w:rPr>
          <w:spacing w:val="-4"/>
          <w:sz w:val="20"/>
        </w:rPr>
        <w:t>0002</w:t>
      </w:r>
    </w:p>
    <w:p>
      <w:pPr>
        <w:pStyle w:val="TextBody"/>
        <w:bidi w:val="0"/>
        <w:spacing w:before="0" w:after="0"/>
        <w:jc w:val="center"/>
        <w:rPr>
          <w:sz w:val="20"/>
        </w:rPr>
      </w:pPr>
      <w:r>
        <w:rPr>
          <w:sz w:val="20"/>
        </w:rPr>
        <w:t xml:space="preserve">(Address, including zip code, and telephone number, including area code, of Issuer’s principal executive </w:t>
      </w:r>
      <w:r>
        <w:rPr>
          <w:spacing w:val="-2"/>
          <w:sz w:val="20"/>
        </w:rPr>
        <w:t>offices)</w:t>
      </w:r>
    </w:p>
    <w:p>
      <w:pPr>
        <w:pStyle w:val="TextBody"/>
        <w:bidi w:val="0"/>
        <w:spacing w:before="0" w:after="0"/>
        <w:jc w:val="left"/>
        <w:rPr/>
      </w:pPr>
      <w:r>
        <w:rPr/>
        <w:t> </w:t>
      </w:r>
    </w:p>
    <w:p>
      <w:pPr>
        <w:pStyle w:val="TextBody"/>
        <w:pBdr>
          <w:bottom w:val="single" w:sz="8" w:space="1" w:color="000000"/>
        </w:pBdr>
        <w:bidi w:val="0"/>
        <w:spacing w:before="0" w:after="0"/>
        <w:jc w:val="center"/>
        <w:rPr>
          <w:sz w:val="20"/>
        </w:rPr>
      </w:pPr>
      <w:r>
        <w:rPr>
          <w:sz w:val="20"/>
        </w:rPr>
        <w:t xml:space="preserve">Common shares, no par </w:t>
      </w:r>
      <w:r>
        <w:rPr>
          <w:spacing w:val="-2"/>
          <w:sz w:val="20"/>
        </w:rPr>
        <w:t>value</w:t>
      </w:r>
    </w:p>
    <w:p>
      <w:pPr>
        <w:pStyle w:val="TextBody"/>
        <w:bidi w:val="0"/>
        <w:spacing w:before="0" w:after="0"/>
        <w:jc w:val="center"/>
        <w:rPr>
          <w:sz w:val="20"/>
        </w:rPr>
      </w:pPr>
      <w:r>
        <w:rPr>
          <w:sz w:val="20"/>
        </w:rPr>
        <w:t xml:space="preserve">(Description of class of </w:t>
      </w:r>
      <w:r>
        <w:rPr>
          <w:spacing w:val="-2"/>
          <w:sz w:val="20"/>
        </w:rPr>
        <w:t>securities)</w:t>
      </w:r>
    </w:p>
    <w:p>
      <w:pPr>
        <w:pStyle w:val="TextBody"/>
        <w:bidi w:val="0"/>
        <w:spacing w:before="0" w:after="0"/>
        <w:ind w:left="0" w:right="0" w:hanging="0"/>
        <w:jc w:val="left"/>
        <w:rPr/>
      </w:pPr>
      <w:r>
        <w:rPr/>
        <w:t> </w:t>
      </w:r>
    </w:p>
    <w:p>
      <w:pPr>
        <w:pStyle w:val="TextBody"/>
        <w:bidi w:val="0"/>
        <w:spacing w:before="0" w:after="0"/>
        <w:jc w:val="left"/>
        <w:rPr>
          <w:sz w:val="20"/>
        </w:rPr>
      </w:pPr>
      <w:r>
        <w:rPr>
          <w:sz w:val="20"/>
        </w:rPr>
        <w:t>Please place an X in the box to designate the rule provision relied upon to strike the class of securities from listing and registration:</w:t>
      </w:r>
    </w:p>
    <w:p>
      <w:pPr>
        <w:pStyle w:val="TextBody"/>
        <w:bidi w:val="0"/>
        <w:spacing w:before="0" w:after="0"/>
        <w:jc w:val="left"/>
        <w:rPr/>
      </w:pPr>
      <w:r>
        <w:rPr/>
        <w:t> </w:t>
      </w:r>
    </w:p>
    <w:p>
      <w:pPr>
        <w:pStyle w:val="TextBody"/>
        <w:bidi w:val="0"/>
        <w:spacing w:before="0" w:after="0"/>
        <w:jc w:val="left"/>
        <w:rPr/>
      </w:pPr>
      <w:r>
        <w:rPr/>
        <w:t xml:space="preserve">☐ </w:t>
      </w:r>
      <w:r>
        <w:rPr>
          <w:sz w:val="20"/>
        </w:rPr>
        <w:t>17 CFR 240.12d2-2(a)(1)</w:t>
      </w:r>
    </w:p>
    <w:p>
      <w:pPr>
        <w:pStyle w:val="TextBody"/>
        <w:bidi w:val="0"/>
        <w:spacing w:before="0" w:after="0"/>
        <w:jc w:val="left"/>
        <w:rPr/>
      </w:pPr>
      <w:r>
        <w:rPr/>
        <w:t> </w:t>
      </w:r>
    </w:p>
    <w:p>
      <w:pPr>
        <w:pStyle w:val="TextBody"/>
        <w:bidi w:val="0"/>
        <w:spacing w:before="0" w:after="0"/>
        <w:jc w:val="left"/>
        <w:rPr/>
      </w:pPr>
      <w:r>
        <w:rPr/>
        <w:t xml:space="preserve">☐ </w:t>
      </w:r>
      <w:r>
        <w:rPr>
          <w:spacing w:val="-4"/>
          <w:sz w:val="20"/>
        </w:rPr>
        <w:t>17 CFR 240.12d2-2(a)(2)</w:t>
      </w:r>
    </w:p>
    <w:p>
      <w:pPr>
        <w:pStyle w:val="TextBody"/>
        <w:bidi w:val="0"/>
        <w:spacing w:before="0" w:after="0"/>
        <w:jc w:val="left"/>
        <w:rPr/>
      </w:pPr>
      <w:r>
        <w:rPr/>
        <w:t> </w:t>
      </w:r>
    </w:p>
    <w:p>
      <w:pPr>
        <w:pStyle w:val="TextBody"/>
        <w:bidi w:val="0"/>
        <w:spacing w:before="0" w:after="0"/>
        <w:jc w:val="left"/>
        <w:rPr/>
      </w:pPr>
      <w:r>
        <w:rPr/>
        <w:t xml:space="preserve">☐ </w:t>
      </w:r>
      <w:r>
        <w:rPr>
          <w:spacing w:val="-2"/>
          <w:sz w:val="20"/>
        </w:rPr>
        <w:t>17 CFR 240.12d2-2(a)(3)</w:t>
      </w:r>
    </w:p>
    <w:p>
      <w:pPr>
        <w:pStyle w:val="TextBody"/>
        <w:bidi w:val="0"/>
        <w:spacing w:before="0" w:after="0"/>
        <w:jc w:val="left"/>
        <w:rPr/>
      </w:pPr>
      <w:r>
        <w:rPr/>
        <w:t> </w:t>
      </w:r>
    </w:p>
    <w:p>
      <w:pPr>
        <w:pStyle w:val="TextBody"/>
        <w:bidi w:val="0"/>
        <w:spacing w:before="0" w:after="0"/>
        <w:jc w:val="left"/>
        <w:rPr/>
      </w:pPr>
      <w:r>
        <w:rPr/>
        <w:t xml:space="preserve">☐ </w:t>
      </w:r>
      <w:r>
        <w:rPr>
          <w:spacing w:val="-2"/>
          <w:sz w:val="20"/>
        </w:rPr>
        <w:t>17 CFR 240.12d2-2(a)(4)</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xml:space="preserve">☐ </w:t>
      </w:r>
      <w:r>
        <w:rPr>
          <w:sz w:val="20"/>
        </w:rPr>
        <w:t>Pursuant to 17 CFR 240.12d2-2(b), the Exchange has complied with its rules to strike the class of securities from listing and/or withdraw registration on the Exchange</w:t>
      </w:r>
      <w:r>
        <w:rPr>
          <w:position w:val="7"/>
          <w:sz w:val="16"/>
          <w:sz w:val="20"/>
        </w:rPr>
        <w:t>1.</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xml:space="preserve">☒ </w:t>
      </w:r>
      <w:r>
        <w:rPr>
          <w:sz w:val="20"/>
        </w:rPr>
        <w:t>Pursuant to 17 CFR 240.12d2-2(c), the Issuer has complied with the rules of the Exchange and the requirements of 17 CFR 240.12d2-2(c) governing the voluntary withdrawal of the class of securities from listing and registration on the Exchange.</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 xml:space="preserve">Pursuant to the requirements of the Securities Exchange Act of </w:t>
      </w:r>
      <w:r>
        <w:rPr>
          <w:spacing w:val="-2"/>
          <w:sz w:val="20"/>
        </w:rPr>
        <w:t xml:space="preserve">1934, </w:t>
      </w:r>
      <w:r>
        <w:rPr>
          <w:sz w:val="20"/>
          <w:u w:val="single"/>
        </w:rPr>
        <w:t xml:space="preserve">PyroGenesis Canada </w:t>
      </w:r>
      <w:r>
        <w:rPr>
          <w:spacing w:val="-4"/>
          <w:sz w:val="20"/>
          <w:u w:val="single"/>
        </w:rPr>
        <w:t xml:space="preserve">Inc. </w:t>
      </w:r>
      <w:r>
        <w:rPr>
          <w:spacing w:val="-4"/>
          <w:sz w:val="20"/>
        </w:rPr>
        <w:t xml:space="preserve">(Name of Issuer or Exchange) </w:t>
      </w:r>
      <w:r>
        <w:rPr>
          <w:spacing w:val="-2"/>
          <w:sz w:val="20"/>
        </w:rPr>
        <w:t>certifies that it has reasonable grounds to believe that it meets all of the requirements for filing the Form 25 and has caused this notifications to be signed on its behalf by the undersigned duly authorized person.</w:t>
      </w:r>
    </w:p>
    <w:p>
      <w:pPr>
        <w:pStyle w:val="TextBody"/>
        <w:bidi w:val="0"/>
        <w:spacing w:before="0" w:after="0"/>
        <w:ind w:left="0" w:right="0" w:hanging="0"/>
        <w:jc w:val="left"/>
        <w:rPr>
          <w:spacing w:val="-2"/>
        </w:rPr>
      </w:pPr>
      <w:r>
        <w:rPr>
          <w:spacing w:val="-2"/>
        </w:rPr>
        <w:t> </w:t>
      </w:r>
    </w:p>
    <w:tbl>
      <w:tblPr>
        <w:tblW w:w="4740" w:type="dxa"/>
        <w:jc w:val="left"/>
        <w:tblInd w:w="0" w:type="dxa"/>
        <w:tblLayout w:type="fixed"/>
        <w:tblCellMar>
          <w:top w:w="0" w:type="dxa"/>
          <w:left w:w="0" w:type="dxa"/>
          <w:bottom w:w="28" w:type="dxa"/>
          <w:right w:w="0" w:type="dxa"/>
        </w:tblCellMar>
      </w:tblPr>
      <w:tblGrid>
        <w:gridCol w:w="1535"/>
        <w:gridCol w:w="60"/>
        <w:gridCol w:w="1520"/>
        <w:gridCol w:w="60"/>
        <w:gridCol w:w="1565"/>
      </w:tblGrid>
      <w:tr>
        <w:trPr/>
        <w:tc>
          <w:tcPr>
            <w:tcW w:w="1535" w:type="dxa"/>
            <w:tcBorders>
              <w:bottom w:val="single" w:sz="8" w:space="0" w:color="000000"/>
            </w:tcBorders>
            <w:vAlign w:val="center"/>
          </w:tcPr>
          <w:p>
            <w:pPr>
              <w:pStyle w:val="TableContents"/>
              <w:bidi w:val="0"/>
              <w:spacing w:before="0" w:after="283"/>
              <w:jc w:val="center"/>
              <w:rPr>
                <w:sz w:val="20"/>
              </w:rPr>
            </w:pPr>
            <w:r>
              <w:rPr>
                <w:sz w:val="20"/>
              </w:rPr>
              <w:t>November 6, 2023</w:t>
            </w:r>
          </w:p>
        </w:tc>
        <w:tc>
          <w:tcPr>
            <w:tcW w:w="60" w:type="dxa"/>
            <w:tcBorders/>
            <w:tcMar>
              <w:bottom w:w="0" w:type="dxa"/>
            </w:tcMar>
            <w:vAlign w:val="center"/>
          </w:tcPr>
          <w:p>
            <w:pPr>
              <w:pStyle w:val="TableContents"/>
              <w:bidi w:val="0"/>
              <w:spacing w:before="0" w:after="283"/>
              <w:jc w:val="center"/>
              <w:rPr/>
            </w:pPr>
            <w:r>
              <w:rPr/>
              <w:t> </w:t>
            </w:r>
          </w:p>
        </w:tc>
        <w:tc>
          <w:tcPr>
            <w:tcW w:w="1520" w:type="dxa"/>
            <w:tcBorders>
              <w:bottom w:val="single" w:sz="8" w:space="0" w:color="000000"/>
            </w:tcBorders>
            <w:vAlign w:val="center"/>
          </w:tcPr>
          <w:p>
            <w:pPr>
              <w:pStyle w:val="TableContents"/>
              <w:bidi w:val="0"/>
              <w:spacing w:before="0" w:after="283"/>
              <w:jc w:val="center"/>
              <w:rPr>
                <w:sz w:val="20"/>
              </w:rPr>
            </w:pPr>
            <w:r>
              <w:rPr>
                <w:sz w:val="20"/>
              </w:rPr>
              <w:t>By P. Peter Pascali</w:t>
            </w:r>
          </w:p>
        </w:tc>
        <w:tc>
          <w:tcPr>
            <w:tcW w:w="60" w:type="dxa"/>
            <w:tcBorders/>
            <w:tcMar>
              <w:bottom w:w="0" w:type="dxa"/>
            </w:tcMar>
            <w:vAlign w:val="center"/>
          </w:tcPr>
          <w:p>
            <w:pPr>
              <w:pStyle w:val="TableContents"/>
              <w:bidi w:val="0"/>
              <w:spacing w:before="0" w:after="283"/>
              <w:jc w:val="center"/>
              <w:rPr/>
            </w:pPr>
            <w:r>
              <w:rPr/>
              <w:t> </w:t>
            </w:r>
          </w:p>
        </w:tc>
        <w:tc>
          <w:tcPr>
            <w:tcW w:w="1565" w:type="dxa"/>
            <w:tcBorders>
              <w:bottom w:val="single" w:sz="8" w:space="0" w:color="000000"/>
            </w:tcBorders>
            <w:vAlign w:val="center"/>
          </w:tcPr>
          <w:p>
            <w:pPr>
              <w:pStyle w:val="TableContents"/>
              <w:bidi w:val="0"/>
              <w:spacing w:before="0" w:after="283"/>
              <w:jc w:val="center"/>
              <w:rPr>
                <w:sz w:val="20"/>
              </w:rPr>
            </w:pPr>
            <w:r>
              <w:rPr>
                <w:sz w:val="20"/>
              </w:rPr>
              <w:t>President and CEO</w:t>
            </w:r>
          </w:p>
        </w:tc>
      </w:tr>
      <w:tr>
        <w:trPr/>
        <w:tc>
          <w:tcPr>
            <w:tcW w:w="1535" w:type="dxa"/>
            <w:tcBorders/>
            <w:tcMar>
              <w:bottom w:w="0" w:type="dxa"/>
            </w:tcMar>
            <w:vAlign w:val="center"/>
          </w:tcPr>
          <w:p>
            <w:pPr>
              <w:pStyle w:val="TableContents"/>
              <w:bidi w:val="0"/>
              <w:spacing w:before="0" w:after="283"/>
              <w:jc w:val="center"/>
              <w:rPr>
                <w:sz w:val="20"/>
              </w:rPr>
            </w:pPr>
            <w:r>
              <w:rPr>
                <w:sz w:val="20"/>
              </w:rPr>
              <w:t>Date</w:t>
            </w:r>
          </w:p>
        </w:tc>
        <w:tc>
          <w:tcPr>
            <w:tcW w:w="60" w:type="dxa"/>
            <w:tcBorders/>
            <w:tcMar>
              <w:bottom w:w="0" w:type="dxa"/>
            </w:tcMar>
            <w:vAlign w:val="center"/>
          </w:tcPr>
          <w:p>
            <w:pPr>
              <w:pStyle w:val="TableContents"/>
              <w:bidi w:val="0"/>
              <w:spacing w:before="0" w:after="283"/>
              <w:jc w:val="center"/>
              <w:rPr/>
            </w:pPr>
            <w:r>
              <w:rPr/>
              <w:t> </w:t>
            </w:r>
          </w:p>
        </w:tc>
        <w:tc>
          <w:tcPr>
            <w:tcW w:w="1520" w:type="dxa"/>
            <w:tcBorders/>
            <w:tcMar>
              <w:bottom w:w="0" w:type="dxa"/>
            </w:tcMar>
            <w:vAlign w:val="center"/>
          </w:tcPr>
          <w:p>
            <w:pPr>
              <w:pStyle w:val="TableContents"/>
              <w:bidi w:val="0"/>
              <w:spacing w:before="0" w:after="283"/>
              <w:jc w:val="center"/>
              <w:rPr>
                <w:sz w:val="20"/>
              </w:rPr>
            </w:pPr>
            <w:r>
              <w:rPr>
                <w:sz w:val="20"/>
              </w:rPr>
              <w:t>Name</w:t>
            </w:r>
          </w:p>
        </w:tc>
        <w:tc>
          <w:tcPr>
            <w:tcW w:w="60" w:type="dxa"/>
            <w:tcBorders/>
            <w:tcMar>
              <w:bottom w:w="0" w:type="dxa"/>
            </w:tcMar>
            <w:vAlign w:val="center"/>
          </w:tcPr>
          <w:p>
            <w:pPr>
              <w:pStyle w:val="TableContents"/>
              <w:bidi w:val="0"/>
              <w:spacing w:before="0" w:after="283"/>
              <w:jc w:val="center"/>
              <w:rPr/>
            </w:pPr>
            <w:r>
              <w:rPr/>
              <w:t> </w:t>
            </w:r>
          </w:p>
        </w:tc>
        <w:tc>
          <w:tcPr>
            <w:tcW w:w="1565" w:type="dxa"/>
            <w:tcBorders/>
            <w:tcMar>
              <w:bottom w:w="0" w:type="dxa"/>
            </w:tcMar>
            <w:vAlign w:val="center"/>
          </w:tcPr>
          <w:p>
            <w:pPr>
              <w:pStyle w:val="TableContents"/>
              <w:bidi w:val="0"/>
              <w:spacing w:before="0" w:after="283"/>
              <w:jc w:val="center"/>
              <w:rPr>
                <w:sz w:val="20"/>
              </w:rPr>
            </w:pPr>
            <w:r>
              <w:rPr>
                <w:sz w:val="20"/>
              </w:rPr>
              <w:t>Title</w:t>
            </w:r>
          </w:p>
        </w:tc>
      </w:tr>
    </w:tbl>
    <w:p>
      <w:pPr>
        <w:pStyle w:val="TextBody"/>
        <w:bidi w:val="0"/>
        <w:spacing w:before="0" w:after="0"/>
        <w:ind w:left="0" w:right="0" w:hanging="0"/>
        <w:jc w:val="left"/>
        <w:rPr/>
      </w:pPr>
      <w:r>
        <w:rPr/>
        <w:t>  </w:t>
      </w:r>
    </w:p>
    <w:p>
      <w:pPr>
        <w:pStyle w:val="TextBody"/>
        <w:bidi w:val="0"/>
        <w:spacing w:before="0" w:after="0"/>
        <w:jc w:val="left"/>
        <w:rPr/>
      </w:pPr>
      <w:r>
        <w:rPr/>
        <w:t> </w:t>
      </w:r>
    </w:p>
    <w:p>
      <w:pPr>
        <w:pStyle w:val="TextBody"/>
        <w:bidi w:val="0"/>
        <w:spacing w:before="0" w:after="0"/>
        <w:jc w:val="left"/>
        <w:rPr/>
      </w:pPr>
      <w:r>
        <w:rPr/>
        <w:t>__________________________</w:t>
      </w:r>
    </w:p>
    <w:p>
      <w:pPr>
        <w:pStyle w:val="TextBody"/>
        <w:bidi w:val="0"/>
        <w:spacing w:before="0" w:after="0"/>
        <w:jc w:val="left"/>
        <w:rPr>
          <w:sz w:val="20"/>
        </w:rPr>
      </w:pPr>
      <w:r>
        <w:rPr>
          <w:position w:val="7"/>
          <w:sz w:val="16"/>
          <w:sz w:val="20"/>
        </w:rPr>
        <w:t>1</w:t>
      </w:r>
      <w:r>
        <w:rPr>
          <w:sz w:val="20"/>
        </w:rPr>
        <w:t xml:space="preserve"> Form 25 and attached Notice will be considered compliance with the provisions of 17 CFR 240.19d-1 as applicable. See General </w:t>
      </w:r>
      <w:r>
        <w:rPr>
          <w:spacing w:val="-5"/>
          <w:sz w:val="20"/>
        </w:rPr>
        <w:t>In</w:t>
      </w:r>
      <w:r>
        <w:rPr>
          <w:spacing w:val="-2"/>
          <w:sz w:val="20"/>
        </w:rPr>
        <w:t>structions.</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95"/>
        <w:gridCol w:w="60"/>
        <w:gridCol w:w="9050"/>
      </w:tblGrid>
      <w:tr>
        <w:trPr/>
        <w:tc>
          <w:tcPr>
            <w:tcW w:w="1095" w:type="dxa"/>
            <w:tcBorders/>
            <w:vAlign w:val="center"/>
          </w:tcPr>
          <w:p>
            <w:pPr>
              <w:pStyle w:val="TableContents"/>
              <w:bidi w:val="0"/>
              <w:spacing w:before="0" w:after="283"/>
              <w:jc w:val="left"/>
              <w:rPr>
                <w:sz w:val="20"/>
              </w:rPr>
            </w:pPr>
            <w:r>
              <w:rPr>
                <w:sz w:val="20"/>
              </w:rPr>
              <w:t>SEC 1654 (03-06)</w:t>
            </w:r>
          </w:p>
        </w:tc>
        <w:tc>
          <w:tcPr>
            <w:tcW w:w="60" w:type="dxa"/>
            <w:tcBorders/>
            <w:vAlign w:val="center"/>
          </w:tcPr>
          <w:p>
            <w:pPr>
              <w:pStyle w:val="TableContents"/>
              <w:bidi w:val="0"/>
              <w:spacing w:before="0" w:after="283"/>
              <w:jc w:val="left"/>
              <w:rPr/>
            </w:pPr>
            <w:r>
              <w:rPr/>
              <w:t> </w:t>
            </w:r>
          </w:p>
        </w:tc>
        <w:tc>
          <w:tcPr>
            <w:tcW w:w="9050" w:type="dxa"/>
            <w:tcBorders/>
            <w:vAlign w:val="center"/>
          </w:tcPr>
          <w:p>
            <w:pPr>
              <w:pStyle w:val="TableContents"/>
              <w:bidi w:val="0"/>
              <w:spacing w:before="0" w:after="283"/>
              <w:jc w:val="left"/>
              <w:rPr>
                <w:b/>
                <w:sz w:val="20"/>
              </w:rPr>
            </w:pPr>
            <w:r>
              <w:rPr>
                <w:b/>
                <w:sz w:val="20"/>
              </w:rPr>
              <w:t>Persons who respond to the collection of information contained in this form are not required to respond unless the form displays a currently valid OMB control number.</w:t>
            </w:r>
          </w:p>
        </w:tc>
      </w:tr>
    </w:tbl>
    <w:p>
      <w:pPr>
        <w:pStyle w:val="TextBody"/>
        <w:bidi w:val="0"/>
        <w:spacing w:before="0" w:after="283"/>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sz w:val="20"/>
        </w:rPr>
      </w:pPr>
      <w:r>
        <w:rPr>
          <w:sz w:val="20"/>
        </w:rPr>
        <w:t>On November 22, 2022, PyroGenesis Canada Inc. (the “Company”) received a written notification from the Nasdaq Stock Market LLC (“Nasdaq”) indicating that, for the last thirty consecutive business days, the closing bid price for the Company’s common shares had closed below the minimum bid price of US$1.00 per share listing requirement under Nasdaq Listing Rule 5550(a)(2). The Company was provided 180 calendar days, or until May 22, 2023 – in accordance with the Nasdaq Listing Rule 5810(c)(3)(A) – to regain compliance with Nasdaq Listing Rule 5550(a)(2).</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sz w:val="20"/>
        </w:rPr>
      </w:pPr>
      <w:r>
        <w:rPr>
          <w:sz w:val="20"/>
        </w:rPr>
        <w:t>On May 22, 2023, the Company received a written notification of approval from Nasdaq indicating that the Company’s request for a 180-day extension to meet the minimum closing bid price of US$1.00 per share listing requirement under Nasdaq Listing Rule 5550(a)(2) was approved. The Company was provided 180 calendar days, or until November 20, 2023, in accordance with the Nasdaq Listing Rule 5810(c)(3)(A), to regain compliance with Nasdaq Listing Rule 5550(a)(2).</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sz w:val="20"/>
        </w:rPr>
      </w:pPr>
      <w:r>
        <w:rPr>
          <w:sz w:val="20"/>
        </w:rPr>
        <w:t>On October 27, 2023, the Company announced that it notified Nasdaq of its intention to voluntarily delist its common shares from Nasdaq, with the common shares continuing to trade on the Toronto Stock Exchange and the Company taking steps to have the common shares quoted on the OTCQX Best Market. Although the Company had until November 20, 2023 to regain compliance with Nasdaq’s minimum bid price rule, after careful consideration, the Company evaluated the benefits and costs of continuing its listing on Nasdaq and concluded that it was appropriate to voluntarily delist from Nasdaq.</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592</Words>
  <Characters>3232</Characters>
  <CharactersWithSpaces>3836</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