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Washington, D.C. 20549</w:t>
      </w:r>
    </w:p>
    <w:p>
      <w:pPr>
        <w:spacing w:after="0" w:line="2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FORM 6-K</w:t>
      </w:r>
    </w:p>
    <w:p>
      <w:pPr>
        <w:spacing w:after="0" w:line="262" w:lineRule="exact"/>
        <w:rPr>
          <w:sz w:val="24"/>
          <w:szCs w:val="24"/>
          <w:color w:val="auto"/>
        </w:rPr>
      </w:pPr>
    </w:p>
    <w:p>
      <w:pPr>
        <w:jc w:val="center"/>
        <w:ind w:left="56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2"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For the month of November 2023</w:t>
      </w:r>
    </w:p>
    <w:p>
      <w:pPr>
        <w:spacing w:after="0" w:line="206"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001-39989</w:t>
      </w:r>
    </w:p>
    <w:p>
      <w:pPr>
        <w:spacing w:after="0" w:line="206"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PYROGENESIS CANADA INC.</w:t>
      </w:r>
    </w:p>
    <w:p>
      <w:pPr>
        <w:spacing w:after="0" w:line="14"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(Translation of registrant's name into English)</w:t>
      </w:r>
    </w:p>
    <w:p>
      <w:pPr>
        <w:spacing w:after="0" w:line="182" w:lineRule="exact"/>
        <w:rPr>
          <w:sz w:val="24"/>
          <w:szCs w:val="24"/>
          <w:color w:val="auto"/>
        </w:rPr>
      </w:pPr>
    </w:p>
    <w:p>
      <w:pPr>
        <w:ind w:left="4380"/>
        <w:spacing w:after="0"/>
        <w:rPr>
          <w:sz w:val="20"/>
          <w:szCs w:val="20"/>
          <w:color w:val="auto"/>
        </w:rPr>
      </w:pPr>
      <w:r>
        <w:rPr>
          <w:rFonts w:ascii="Arial" w:cs="Arial" w:eastAsia="Arial" w:hAnsi="Arial"/>
          <w:sz w:val="22"/>
          <w:szCs w:val="22"/>
          <w:b w:val="1"/>
          <w:bCs w:val="1"/>
          <w:color w:val="auto"/>
        </w:rPr>
        <w:t>1744, William St. Suite 200</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Montreal, QC, H3J1R4</w:t>
      </w:r>
    </w:p>
    <w:p>
      <w:pPr>
        <w:jc w:val="center"/>
        <w:ind w:right="-239"/>
        <w:spacing w:after="0" w:line="230" w:lineRule="auto"/>
        <w:rPr>
          <w:sz w:val="20"/>
          <w:szCs w:val="20"/>
          <w:color w:val="auto"/>
        </w:rPr>
      </w:pPr>
      <w:r>
        <w:rPr>
          <w:rFonts w:ascii="Arial" w:cs="Arial" w:eastAsia="Arial" w:hAnsi="Arial"/>
          <w:sz w:val="22"/>
          <w:szCs w:val="22"/>
          <w:b w:val="1"/>
          <w:bCs w:val="1"/>
          <w:color w:val="auto"/>
        </w:rPr>
        <w:t>Canada</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color w:val="auto"/>
        </w:rPr>
        <w:t>(Address of principal executive office)</w:t>
      </w:r>
    </w:p>
    <w:p>
      <w:pPr>
        <w:spacing w:after="0" w:line="188" w:lineRule="exact"/>
        <w:rPr>
          <w:sz w:val="24"/>
          <w:szCs w:val="24"/>
          <w:color w:val="auto"/>
        </w:rPr>
      </w:pPr>
    </w:p>
    <w:p>
      <w:pPr>
        <w:ind w:right="820"/>
        <w:spacing w:after="0" w:line="250" w:lineRule="auto"/>
        <w:rPr>
          <w:sz w:val="20"/>
          <w:szCs w:val="20"/>
          <w:color w:val="auto"/>
        </w:rPr>
      </w:pPr>
      <w:r>
        <w:rPr>
          <w:rFonts w:ascii="Arial" w:cs="Arial" w:eastAsia="Arial" w:hAnsi="Arial"/>
          <w:sz w:val="22"/>
          <w:szCs w:val="22"/>
          <w:color w:val="auto"/>
        </w:rPr>
        <w:t>Indicate by check mark whether the registrant files or will file annual reports under cover of Form 20-F or Form 40-F. Form 20-F [ ] 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705485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9" w:right="559" w:bottom="1440" w:gutter="0" w:footer="0" w:header="0"/>
        </w:sectPr>
      </w:pPr>
    </w:p>
    <w:bookmarkStart w:id="1" w:name="page2"/>
    <w:bookmarkEnd w:id="1"/>
    <w:p>
      <w:pPr>
        <w:ind w:right="1120"/>
        <w:spacing w:after="0" w:line="251" w:lineRule="auto"/>
        <w:rPr>
          <w:sz w:val="20"/>
          <w:szCs w:val="20"/>
          <w:color w:val="auto"/>
        </w:rPr>
      </w:pPr>
      <w:r>
        <w:rPr>
          <w:rFonts w:ascii="Arial" w:cs="Arial" w:eastAsia="Arial" w:hAnsi="Arial"/>
          <w:sz w:val="22"/>
          <w:szCs w:val="22"/>
          <w:color w:val="auto"/>
        </w:rPr>
        <w:t>On November 7, 2023, the Registrant issued a press release, a copy of which is attached hereto as Exhibit 99.1 and is incorporated herein by reference.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Arial" w:cs="Arial" w:eastAsia="Arial" w:hAnsi="Arial"/>
                <w:sz w:val="18"/>
                <w:szCs w:val="18"/>
                <w:color w:val="0000EE"/>
              </w:rPr>
              <w:t>Press Release dated November 7, 2023</w:t>
            </w:r>
          </w:p>
        </w:tc>
      </w:tr>
      <w:tr>
        <w:trPr>
          <w:trHeight w:val="247"/>
        </w:trPr>
        <w:tc>
          <w:tcPr>
            <w:tcW w:w="320" w:type="dxa"/>
            <w:vAlign w:val="bottom"/>
            <w:tcBorders>
              <w:top w:val="single" w:sz="8" w:color="0000EE"/>
              <w:bottom w:val="single" w:sz="8" w:color="808080"/>
            </w:tcBorders>
          </w:tcPr>
          <w:p>
            <w:pPr>
              <w:spacing w:after="0"/>
              <w:rPr>
                <w:sz w:val="21"/>
                <w:szCs w:val="21"/>
                <w:color w:val="auto"/>
              </w:rPr>
            </w:pPr>
          </w:p>
        </w:tc>
        <w:tc>
          <w:tcPr>
            <w:tcW w:w="9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80" w:type="dxa"/>
            <w:vAlign w:val="bottom"/>
            <w:tcBorders>
              <w:top w:val="single" w:sz="8" w:color="0000EE"/>
              <w:bottom w:val="single" w:sz="8" w:color="808080"/>
            </w:tcBorders>
          </w:tcPr>
          <w:p>
            <w:pPr>
              <w:spacing w:after="0"/>
              <w:rPr>
                <w:sz w:val="21"/>
                <w:szCs w:val="21"/>
                <w:color w:val="auto"/>
              </w:rPr>
            </w:pPr>
          </w:p>
        </w:tc>
        <w:tc>
          <w:tcPr>
            <w:tcW w:w="1920" w:type="dxa"/>
            <w:vAlign w:val="bottom"/>
            <w:tcBorders>
              <w:top w:val="single" w:sz="8" w:color="0000EE"/>
              <w:bottom w:val="single" w:sz="8" w:color="808080"/>
            </w:tcBorders>
          </w:tcPr>
          <w:p>
            <w:pPr>
              <w:spacing w:after="0"/>
              <w:rPr>
                <w:sz w:val="21"/>
                <w:szCs w:val="21"/>
                <w:color w:val="auto"/>
              </w:rPr>
            </w:pPr>
          </w:p>
        </w:tc>
        <w:tc>
          <w:tcPr>
            <w:tcW w:w="690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17"/>
                <w:szCs w:val="17"/>
                <w:color w:val="auto"/>
              </w:rPr>
            </w:pPr>
          </w:p>
        </w:tc>
        <w:tc>
          <w:tcPr>
            <w:tcW w:w="2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PYROGENESIS CANADA INC.</w:t>
            </w:r>
          </w:p>
        </w:tc>
      </w:tr>
      <w:tr>
        <w:trPr>
          <w:trHeight w:val="237"/>
        </w:trPr>
        <w:tc>
          <w:tcPr>
            <w:tcW w:w="7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8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(Registrant)</w:t>
            </w:r>
          </w:p>
        </w:tc>
      </w:tr>
      <w:tr>
        <w:trPr>
          <w:trHeight w:val="608"/>
        </w:trPr>
        <w:tc>
          <w:tcPr>
            <w:tcW w:w="7160" w:type="dxa"/>
            <w:vAlign w:val="bottom"/>
          </w:tcPr>
          <w:p>
            <w:pPr>
              <w:spacing w:after="0"/>
              <w:rPr>
                <w:sz w:val="20"/>
                <w:szCs w:val="20"/>
                <w:color w:val="auto"/>
              </w:rPr>
            </w:pPr>
            <w:r>
              <w:rPr>
                <w:rFonts w:ascii="Arial" w:cs="Arial" w:eastAsia="Arial" w:hAnsi="Arial"/>
                <w:sz w:val="18"/>
                <w:szCs w:val="18"/>
                <w:color w:val="auto"/>
              </w:rPr>
              <w:t>Date: November 7, 2023</w:t>
            </w:r>
          </w:p>
        </w:tc>
        <w:tc>
          <w:tcPr>
            <w:tcW w:w="60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P. Peter Pascali</w:t>
            </w:r>
          </w:p>
        </w:tc>
        <w:tc>
          <w:tcPr>
            <w:tcW w:w="600" w:type="dxa"/>
            <w:vAlign w:val="bottom"/>
          </w:tcPr>
          <w:p>
            <w:pPr>
              <w:spacing w:after="0"/>
              <w:rPr>
                <w:sz w:val="24"/>
                <w:szCs w:val="24"/>
                <w:color w:val="auto"/>
              </w:rPr>
            </w:pPr>
          </w:p>
        </w:tc>
      </w:tr>
      <w:tr>
        <w:trPr>
          <w:trHeight w:val="222"/>
        </w:trPr>
        <w:tc>
          <w:tcPr>
            <w:tcW w:w="7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80" w:type="dxa"/>
            <w:vAlign w:val="bottom"/>
            <w:gridSpan w:val="2"/>
          </w:tcPr>
          <w:p>
            <w:pPr>
              <w:jc w:val="center"/>
              <w:ind w:right="600"/>
              <w:spacing w:after="0"/>
              <w:rPr>
                <w:sz w:val="20"/>
                <w:szCs w:val="20"/>
                <w:color w:val="auto"/>
              </w:rPr>
            </w:pPr>
            <w:r>
              <w:rPr>
                <w:rFonts w:ascii="Arial" w:cs="Arial" w:eastAsia="Arial" w:hAnsi="Arial"/>
                <w:sz w:val="18"/>
                <w:szCs w:val="18"/>
                <w:color w:val="auto"/>
                <w:w w:val="84"/>
              </w:rPr>
              <w:t>P. Peter Pascali</w:t>
            </w:r>
          </w:p>
        </w:tc>
      </w:tr>
      <w:tr>
        <w:trPr>
          <w:trHeight w:val="230"/>
        </w:trPr>
        <w:tc>
          <w:tcPr>
            <w:tcW w:w="7160" w:type="dxa"/>
            <w:vAlign w:val="bottom"/>
          </w:tcPr>
          <w:p>
            <w:pPr>
              <w:spacing w:after="0"/>
              <w:rPr>
                <w:sz w:val="20"/>
                <w:szCs w:val="20"/>
                <w:color w:val="auto"/>
              </w:rPr>
            </w:pPr>
          </w:p>
        </w:tc>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160"/>
          </w:cols>
          <w:pgMar w:left="320" w:top="328" w:right="41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auto"/>
        </w:rPr>
        <w:t>PyroGenesis Schedules 2023 Third Quarter Financial Results and Business Update Conference Call</w:t>
      </w:r>
    </w:p>
    <w:p>
      <w:pPr>
        <w:spacing w:after="0" w:line="250" w:lineRule="exact"/>
        <w:rPr>
          <w:sz w:val="20"/>
          <w:szCs w:val="20"/>
          <w:color w:val="auto"/>
        </w:rPr>
      </w:pPr>
    </w:p>
    <w:p>
      <w:pPr>
        <w:ind w:right="220"/>
        <w:spacing w:after="0" w:line="235" w:lineRule="auto"/>
        <w:rPr>
          <w:sz w:val="20"/>
          <w:szCs w:val="20"/>
          <w:color w:val="auto"/>
        </w:rPr>
      </w:pPr>
      <w:r>
        <w:rPr>
          <w:rFonts w:ascii="Arial" w:cs="Arial" w:eastAsia="Arial" w:hAnsi="Arial"/>
          <w:sz w:val="22"/>
          <w:szCs w:val="22"/>
          <w:color w:val="auto"/>
        </w:rPr>
        <w:t>MONTREAL, Nov. 07, 2023 (GLOBE NEWSWIRE) -- PyroGenesis Canada Inc. (http://pyrogenesis.com) (TSX: PYR) (NASDAQ: PYR) (FRA: 8PY), a high-tech company (the “Company” or “PyroGenesis”) that designs, develops, manufactures and commercializes advanced plasma processes and sustainable solutions which are geared to reduce greenhouse gases (GHG), today announced that it will host a conference call at 10:00 AM Eastern Time on Friday, November 10, 2023, to discuss the Company’s financial results for the third quarter ended September 30, 2023, as well as the Company’s corporate progress and other developments.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live webcast of the conference call can be accessed by visiting the following link: https://edge.media-server.com/mmc/p/wdqtjz3a. The webcast will also be available on the Investor Relations section of the company's website by clicking here.</w:t>
      </w:r>
    </w:p>
    <w:p>
      <w:pPr>
        <w:spacing w:after="0" w:line="18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Any inquiries can be submitted ahead of time by sending an email to PyroGenesis’ Investor Relation at ir@pyrogenesis.com with the management team making every effort to address them during the conference call.</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PyroGenesis Canada Inc.</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PyroGenesis Canada Inc., a high-tech company, is a proud leader in the design, development, manufacture and commercialization of advanced plasma processes and sustainable solutions which reduce greenhouse gases (GHG) and are economically attractive alternatives to conventional “dirty” processes. PyroGenesis has created proprietary, patented and advanced plasma technologies that are being vetted and adopted by industry leaders in four massive markets: iron ore pelletization, aluminum, waste management, and additive manufacturing. With a team of experienced engineers, scientists and technicians working out of its</w:t>
      </w:r>
    </w:p>
    <w:p>
      <w:pPr>
        <w:jc w:val="both"/>
        <w:spacing w:after="0" w:line="209" w:lineRule="auto"/>
        <w:rPr>
          <w:sz w:val="20"/>
          <w:szCs w:val="20"/>
          <w:color w:val="auto"/>
        </w:rPr>
      </w:pPr>
      <w:r>
        <w:rPr>
          <w:rFonts w:ascii="Arial" w:cs="Arial" w:eastAsia="Arial" w:hAnsi="Arial"/>
          <w:sz w:val="22"/>
          <w:szCs w:val="22"/>
          <w:color w:val="auto"/>
        </w:rPr>
        <w:t>Montreal office, and its 3,800 m</w:t>
      </w:r>
      <w:r>
        <w:rPr>
          <w:rFonts w:ascii="Arial" w:cs="Arial" w:eastAsia="Arial" w:hAnsi="Arial"/>
          <w:sz w:val="35"/>
          <w:szCs w:val="35"/>
          <w:color w:val="auto"/>
          <w:vertAlign w:val="superscript"/>
        </w:rPr>
        <w:t>2</w:t>
      </w:r>
      <w:r>
        <w:rPr>
          <w:rFonts w:ascii="Arial" w:cs="Arial" w:eastAsia="Arial" w:hAnsi="Arial"/>
          <w:sz w:val="22"/>
          <w:szCs w:val="22"/>
          <w:color w:val="auto"/>
        </w:rPr>
        <w:t xml:space="preserve"> and 2,940 m</w:t>
      </w:r>
      <w:r>
        <w:rPr>
          <w:rFonts w:ascii="Arial" w:cs="Arial" w:eastAsia="Arial" w:hAnsi="Arial"/>
          <w:sz w:val="35"/>
          <w:szCs w:val="35"/>
          <w:color w:val="auto"/>
          <w:vertAlign w:val="superscript"/>
        </w:rPr>
        <w:t>2</w:t>
      </w:r>
      <w:r>
        <w:rPr>
          <w:rFonts w:ascii="Arial" w:cs="Arial" w:eastAsia="Arial" w:hAnsi="Arial"/>
          <w:sz w:val="22"/>
          <w:szCs w:val="22"/>
          <w:color w:val="auto"/>
        </w:rPr>
        <w:t xml:space="preserve"> manufacturing facilities, PyroGenesis maintains its competitive advantage by remaining at the forefront of technology development and commercialization. The operations of PyroGenesis are ISO 9001:2015 and AS9100D certified, having been ISO certified since 1997.</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 further information please contact:</w:t>
      </w:r>
    </w:p>
    <w:p>
      <w:pPr>
        <w:spacing w:after="0" w:line="238" w:lineRule="auto"/>
        <w:rPr>
          <w:sz w:val="20"/>
          <w:szCs w:val="20"/>
          <w:color w:val="auto"/>
        </w:rPr>
      </w:pPr>
      <w:r>
        <w:rPr>
          <w:rFonts w:ascii="Arial" w:cs="Arial" w:eastAsia="Arial" w:hAnsi="Arial"/>
          <w:sz w:val="22"/>
          <w:szCs w:val="22"/>
          <w:color w:val="auto"/>
        </w:rPr>
        <w:t>Rodayna Kafal, Vice President, IR/Comms. and Strategic BD</w:t>
      </w:r>
    </w:p>
    <w:p>
      <w:pPr>
        <w:spacing w:after="0" w:line="230" w:lineRule="auto"/>
        <w:rPr>
          <w:sz w:val="20"/>
          <w:szCs w:val="20"/>
          <w:color w:val="auto"/>
        </w:rPr>
      </w:pPr>
      <w:r>
        <w:rPr>
          <w:rFonts w:ascii="Arial" w:cs="Arial" w:eastAsia="Arial" w:hAnsi="Arial"/>
          <w:sz w:val="22"/>
          <w:szCs w:val="22"/>
          <w:color w:val="auto"/>
        </w:rPr>
        <w:t>Phone: (514) 937-0002, E-mail: ir@pyrogenesis.com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RELATED LINK: http://www.pyrogenesis.com/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2023-11-08T09:25:42Z</dcterms:created>
  <dcterms:modified xsi:type="dcterms:W3CDTF">2023-11-08T09:25:42Z</dcterms:modified>
</cp:coreProperties>
</file>